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7641DD">
        <w:rPr>
          <w:color w:val="009AA6"/>
          <w:sz w:val="36"/>
          <w:szCs w:val="36"/>
        </w:rPr>
        <w:t>Perstorp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  <w:bookmarkStart w:id="0" w:name="_GoBack"/>
      <w:bookmarkEnd w:id="0"/>
    </w:p>
    <w:p w:rsidR="005658C4" w:rsidRDefault="007641DD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641DD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30316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B56C-1D4A-4392-A9B7-58BFEAA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2022-10-13T13:51:00Z</dcterms:modified>
</cp:coreProperties>
</file>